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1237E" w:rsidRDefault="00E624E7" w:rsidP="0065026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noProof/>
          <w:spacing w:val="-3"/>
          <w:sz w:val="22"/>
          <w:szCs w:val="22"/>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-985520</wp:posOffset>
                </wp:positionV>
                <wp:extent cx="1714500" cy="457200"/>
                <wp:effectExtent l="317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868" w:rsidRPr="00DF03F9" w:rsidRDefault="000D6868" w:rsidP="000D6868">
                            <w:pPr>
                              <w:pStyle w:val="Header"/>
                              <w:jc w:val="right"/>
                              <w:rPr>
                                <w:rFonts w:ascii="Arial" w:hAnsi="Arial" w:cs="Arial"/>
                                <w:b/>
                              </w:rPr>
                            </w:pPr>
                          </w:p>
                          <w:p w:rsidR="000D6868" w:rsidRDefault="000D6868" w:rsidP="000D686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4pt;margin-top:-77.6pt;width:1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HmgAIAAA8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" stroked="f">
                <v:textbox>
                  <w:txbxContent>
                    <w:p w:rsidR="000D6868" w:rsidRPr="00DF03F9" w:rsidRDefault="000D6868" w:rsidP="000D6868">
                      <w:pPr>
                        <w:pStyle w:val="Header"/>
                        <w:jc w:val="right"/>
                        <w:rPr>
                          <w:rFonts w:ascii="Arial" w:hAnsi="Arial" w:cs="Arial"/>
                          <w:b/>
                        </w:rPr>
                      </w:pPr>
                    </w:p>
                    <w:p w:rsidR="000D6868" w:rsidRDefault="000D6868" w:rsidP="000D6868">
                      <w:pPr>
                        <w:jc w:val="right"/>
                      </w:pPr>
                    </w:p>
                  </w:txbxContent>
                </v:textbox>
              </v:shape>
            </w:pict>
          </mc:Fallback>
        </mc:AlternateContent>
      </w:r>
      <w:r w:rsidR="00AE17B1">
        <w:rPr>
          <w:rFonts w:ascii="Arial" w:hAnsi="Arial" w:cs="Arial"/>
          <w:bCs/>
          <w:spacing w:val="-3"/>
          <w:sz w:val="22"/>
          <w:szCs w:val="22"/>
        </w:rPr>
        <w:t>T</w:t>
      </w:r>
      <w:r w:rsidR="00091873">
        <w:rPr>
          <w:rFonts w:ascii="Arial" w:hAnsi="Arial" w:cs="Arial"/>
          <w:bCs/>
          <w:spacing w:val="-3"/>
          <w:sz w:val="22"/>
          <w:szCs w:val="22"/>
        </w:rPr>
        <w:t>he</w:t>
      </w:r>
      <w:r w:rsidR="00FB1396">
        <w:rPr>
          <w:rFonts w:ascii="Arial" w:hAnsi="Arial" w:cs="Arial"/>
          <w:bCs/>
          <w:spacing w:val="-3"/>
          <w:sz w:val="22"/>
          <w:szCs w:val="22"/>
        </w:rPr>
        <w:t xml:space="preserve"> </w:t>
      </w:r>
      <w:r w:rsidR="00FB1396" w:rsidRPr="00091873">
        <w:rPr>
          <w:rFonts w:ascii="Arial" w:hAnsi="Arial" w:cs="Arial"/>
          <w:bCs/>
          <w:i/>
          <w:spacing w:val="-3"/>
          <w:sz w:val="22"/>
          <w:szCs w:val="22"/>
        </w:rPr>
        <w:t>Mines and Energy Legislation Amendment Bill 2009</w:t>
      </w:r>
      <w:r w:rsidR="00FB1396">
        <w:rPr>
          <w:rFonts w:ascii="Arial" w:hAnsi="Arial" w:cs="Arial"/>
          <w:bCs/>
          <w:spacing w:val="-3"/>
          <w:sz w:val="22"/>
          <w:szCs w:val="22"/>
        </w:rPr>
        <w:t xml:space="preserve"> contains amendments to</w:t>
      </w:r>
      <w:r w:rsidR="001E1849">
        <w:rPr>
          <w:rFonts w:ascii="Arial" w:hAnsi="Arial" w:cs="Arial"/>
          <w:bCs/>
          <w:spacing w:val="-3"/>
          <w:sz w:val="22"/>
          <w:szCs w:val="22"/>
        </w:rPr>
        <w:t xml:space="preserve"> i</w:t>
      </w:r>
      <w:r w:rsidR="00EF0E98">
        <w:rPr>
          <w:rFonts w:ascii="Arial" w:hAnsi="Arial" w:cs="Arial"/>
          <w:bCs/>
          <w:spacing w:val="-3"/>
          <w:sz w:val="22"/>
          <w:szCs w:val="22"/>
        </w:rPr>
        <w:t xml:space="preserve">mplement recommendations from the </w:t>
      </w:r>
      <w:r w:rsidR="00211447">
        <w:rPr>
          <w:rFonts w:ascii="Arial" w:hAnsi="Arial" w:cs="Arial"/>
          <w:bCs/>
          <w:spacing w:val="-3"/>
          <w:sz w:val="22"/>
          <w:szCs w:val="22"/>
        </w:rPr>
        <w:t>Ombudsman’s 2008</w:t>
      </w:r>
      <w:r w:rsidR="00EF0E98">
        <w:rPr>
          <w:rFonts w:ascii="Arial" w:hAnsi="Arial" w:cs="Arial"/>
          <w:bCs/>
          <w:spacing w:val="-3"/>
          <w:sz w:val="22"/>
          <w:szCs w:val="22"/>
        </w:rPr>
        <w:t xml:space="preserve"> </w:t>
      </w:r>
      <w:r w:rsidR="00211447">
        <w:rPr>
          <w:rFonts w:ascii="Arial" w:hAnsi="Arial" w:cs="Arial"/>
          <w:bCs/>
          <w:spacing w:val="-3"/>
          <w:sz w:val="22"/>
          <w:szCs w:val="22"/>
        </w:rPr>
        <w:t xml:space="preserve">report - </w:t>
      </w:r>
      <w:r w:rsidR="00D721C5" w:rsidRPr="00D721C5">
        <w:rPr>
          <w:rFonts w:ascii="Arial" w:hAnsi="Arial" w:cs="Arial"/>
          <w:i/>
          <w:sz w:val="22"/>
          <w:szCs w:val="22"/>
        </w:rPr>
        <w:t>The Regulation of Mine Safety in Queensland: A review of the Queensland Mines Inspectorate</w:t>
      </w:r>
      <w:r w:rsidR="007B693B" w:rsidRPr="00D721C5">
        <w:rPr>
          <w:rFonts w:ascii="Arial" w:hAnsi="Arial" w:cs="Arial"/>
          <w:bCs/>
          <w:spacing w:val="-3"/>
          <w:sz w:val="22"/>
          <w:szCs w:val="22"/>
        </w:rPr>
        <w:t>.</w:t>
      </w:r>
    </w:p>
    <w:p w:rsidR="00C600EA" w:rsidRDefault="00C600EA" w:rsidP="00C600EA">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amendments will </w:t>
      </w:r>
      <w:r w:rsidRPr="00A17C89">
        <w:rPr>
          <w:rFonts w:ascii="Arial" w:hAnsi="Arial" w:cs="Arial"/>
          <w:bCs/>
          <w:spacing w:val="-3"/>
          <w:sz w:val="22"/>
          <w:szCs w:val="22"/>
        </w:rPr>
        <w:t xml:space="preserve">implement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Pr>
          <w:rFonts w:ascii="Arial" w:hAnsi="Arial" w:cs="Arial"/>
          <w:bCs/>
          <w:spacing w:val="-3"/>
          <w:sz w:val="22"/>
          <w:szCs w:val="22"/>
        </w:rPr>
        <w:t>’s contribution to a</w:t>
      </w:r>
      <w:r w:rsidRPr="00A17C89">
        <w:rPr>
          <w:rFonts w:ascii="Arial" w:hAnsi="Arial" w:cs="Arial"/>
          <w:bCs/>
          <w:spacing w:val="-3"/>
          <w:sz w:val="22"/>
          <w:szCs w:val="22"/>
        </w:rPr>
        <w:t xml:space="preserve"> significant </w:t>
      </w:r>
      <w:r>
        <w:rPr>
          <w:rFonts w:ascii="Arial" w:hAnsi="Arial" w:cs="Arial"/>
          <w:bCs/>
          <w:spacing w:val="-3"/>
          <w:sz w:val="22"/>
          <w:szCs w:val="22"/>
        </w:rPr>
        <w:t xml:space="preserve">national energy </w:t>
      </w:r>
      <w:r w:rsidRPr="00A17C89">
        <w:rPr>
          <w:rFonts w:ascii="Arial" w:hAnsi="Arial" w:cs="Arial"/>
          <w:bCs/>
          <w:spacing w:val="-3"/>
          <w:sz w:val="22"/>
          <w:szCs w:val="22"/>
        </w:rPr>
        <w:t>reform project, which has proceeded under the guidance of the M</w:t>
      </w:r>
      <w:r>
        <w:rPr>
          <w:rFonts w:ascii="Arial" w:hAnsi="Arial" w:cs="Arial"/>
          <w:bCs/>
          <w:spacing w:val="-3"/>
          <w:sz w:val="22"/>
          <w:szCs w:val="22"/>
        </w:rPr>
        <w:t>inisterial Council on Energy</w:t>
      </w:r>
      <w:r w:rsidRPr="00A17C89">
        <w:rPr>
          <w:rFonts w:ascii="Arial" w:hAnsi="Arial" w:cs="Arial"/>
          <w:bCs/>
          <w:spacing w:val="-3"/>
          <w:sz w:val="22"/>
          <w:szCs w:val="22"/>
        </w:rPr>
        <w:t xml:space="preserve">.  The Bill </w:t>
      </w:r>
      <w:r>
        <w:rPr>
          <w:rFonts w:ascii="Arial" w:hAnsi="Arial" w:cs="Arial"/>
          <w:bCs/>
          <w:spacing w:val="-3"/>
          <w:sz w:val="22"/>
          <w:szCs w:val="22"/>
        </w:rPr>
        <w:t>supports the</w:t>
      </w:r>
      <w:r w:rsidRPr="00A17C89">
        <w:rPr>
          <w:rFonts w:ascii="Arial" w:hAnsi="Arial" w:cs="Arial"/>
          <w:bCs/>
          <w:spacing w:val="-3"/>
          <w:sz w:val="22"/>
          <w:szCs w:val="22"/>
        </w:rPr>
        <w:t xml:space="preserve"> establish</w:t>
      </w:r>
      <w:r>
        <w:rPr>
          <w:rFonts w:ascii="Arial" w:hAnsi="Arial" w:cs="Arial"/>
          <w:bCs/>
          <w:spacing w:val="-3"/>
          <w:sz w:val="22"/>
          <w:szCs w:val="22"/>
        </w:rPr>
        <w:t>ment of</w:t>
      </w:r>
      <w:r w:rsidRPr="00A17C89">
        <w:rPr>
          <w:rFonts w:ascii="Arial" w:hAnsi="Arial" w:cs="Arial"/>
          <w:bCs/>
          <w:spacing w:val="-3"/>
          <w:sz w:val="22"/>
          <w:szCs w:val="22"/>
        </w:rPr>
        <w:t xml:space="preserve"> the Australian Energy Market Operator (AEMO)</w:t>
      </w:r>
      <w:r>
        <w:rPr>
          <w:rFonts w:ascii="Arial" w:hAnsi="Arial" w:cs="Arial"/>
          <w:bCs/>
          <w:spacing w:val="-3"/>
          <w:sz w:val="22"/>
          <w:szCs w:val="22"/>
        </w:rPr>
        <w:t xml:space="preserve"> under amendments to the National Electricity Law and National Gas Law.</w:t>
      </w:r>
    </w:p>
    <w:p w:rsidR="00C600EA" w:rsidRDefault="00C600EA" w:rsidP="00AE17B1">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Under the proposed amendments, regulatory control of the Mt Isa-Cloncurry electricity distribution network will be transferred from the Queensland Competition Authority to the Australian Energy Regulator.  This transfer will occur at the same time as the Australian Energy Regulator assumes regulatory control of </w:t>
      </w:r>
      <w:smartTag w:uri="urn:schemas-microsoft-com:office:smarttags" w:element="State">
        <w:smartTag w:uri="urn:schemas-microsoft-com:office:smarttags" w:element="place">
          <w:r>
            <w:rPr>
              <w:rFonts w:ascii="Arial" w:hAnsi="Arial" w:cs="Arial"/>
              <w:bCs/>
              <w:spacing w:val="-3"/>
              <w:sz w:val="22"/>
              <w:szCs w:val="22"/>
            </w:rPr>
            <w:t>Queensland</w:t>
          </w:r>
        </w:smartTag>
      </w:smartTag>
      <w:r>
        <w:rPr>
          <w:rFonts w:ascii="Arial" w:hAnsi="Arial" w:cs="Arial"/>
          <w:bCs/>
          <w:spacing w:val="-3"/>
          <w:sz w:val="22"/>
          <w:szCs w:val="22"/>
        </w:rPr>
        <w:t>’s national grid</w:t>
      </w:r>
      <w:r>
        <w:rPr>
          <w:rFonts w:ascii="Arial" w:hAnsi="Arial" w:cs="Arial"/>
          <w:bCs/>
          <w:spacing w:val="-3"/>
          <w:sz w:val="22"/>
          <w:szCs w:val="22"/>
        </w:rPr>
        <w:noBreakHyphen/>
        <w:t xml:space="preserve">connected networks on 1 July 2010.  The amendments will maintain </w:t>
      </w:r>
      <w:r w:rsidRPr="00850C17">
        <w:rPr>
          <w:rFonts w:ascii="Arial" w:hAnsi="Arial" w:cs="Arial"/>
          <w:sz w:val="22"/>
          <w:szCs w:val="22"/>
        </w:rPr>
        <w:t>regulatory consistency across the</w:t>
      </w:r>
      <w:r>
        <w:rPr>
          <w:rFonts w:ascii="Arial" w:hAnsi="Arial" w:cs="Arial"/>
          <w:sz w:val="22"/>
          <w:szCs w:val="22"/>
        </w:rPr>
        <w:t>se</w:t>
      </w:r>
      <w:r w:rsidRPr="00850C17">
        <w:rPr>
          <w:rFonts w:ascii="Arial" w:hAnsi="Arial" w:cs="Arial"/>
          <w:sz w:val="22"/>
          <w:szCs w:val="22"/>
        </w:rPr>
        <w:t xml:space="preserve"> major electricity networks</w:t>
      </w:r>
      <w:r>
        <w:rPr>
          <w:rFonts w:ascii="Arial" w:hAnsi="Arial" w:cs="Arial"/>
          <w:sz w:val="22"/>
          <w:szCs w:val="22"/>
        </w:rPr>
        <w:t>.</w:t>
      </w:r>
      <w:r>
        <w:rPr>
          <w:rFonts w:ascii="Arial" w:hAnsi="Arial" w:cs="Arial"/>
          <w:bCs/>
          <w:spacing w:val="-3"/>
          <w:sz w:val="22"/>
          <w:szCs w:val="22"/>
        </w:rPr>
        <w:t xml:space="preserve"> </w:t>
      </w:r>
    </w:p>
    <w:p w:rsidR="00C600EA" w:rsidRPr="00B33FE1" w:rsidRDefault="00C600EA" w:rsidP="00AE17B1">
      <w:pPr>
        <w:numPr>
          <w:ilvl w:val="0"/>
          <w:numId w:val="1"/>
        </w:numPr>
        <w:tabs>
          <w:tab w:val="clear" w:pos="720"/>
          <w:tab w:val="num" w:pos="360"/>
        </w:tabs>
        <w:spacing w:before="240"/>
        <w:ind w:left="360"/>
        <w:jc w:val="both"/>
        <w:rPr>
          <w:rFonts w:ascii="Arial" w:hAnsi="Arial" w:cs="Arial"/>
          <w:bCs/>
          <w:spacing w:val="-3"/>
          <w:sz w:val="22"/>
          <w:szCs w:val="22"/>
        </w:rPr>
      </w:pPr>
      <w:r w:rsidRPr="00B33FE1">
        <w:rPr>
          <w:rFonts w:ascii="Arial" w:hAnsi="Arial" w:cs="Arial"/>
          <w:bCs/>
          <w:spacing w:val="-3"/>
          <w:sz w:val="22"/>
          <w:szCs w:val="22"/>
        </w:rPr>
        <w:t xml:space="preserve">The Bill proposes amendments to the </w:t>
      </w:r>
      <w:r w:rsidRPr="000B453E">
        <w:rPr>
          <w:rFonts w:ascii="Arial" w:hAnsi="Arial" w:cs="Arial"/>
          <w:i/>
          <w:sz w:val="22"/>
          <w:szCs w:val="22"/>
        </w:rPr>
        <w:t>Coal Mining Safety and Health Act 1999, Electricity Act 1994, Gas Supply Act 2003, Electricity-National Scheme (Queensland) Act 1997, Explosives Act 1999, Mineral Resources Act 1989, Mining and Quarrying Safety and Health Act 1999</w:t>
      </w:r>
      <w:r w:rsidRPr="000B453E">
        <w:rPr>
          <w:rFonts w:ascii="Arial" w:hAnsi="Arial" w:cs="Arial"/>
          <w:sz w:val="22"/>
          <w:szCs w:val="22"/>
        </w:rPr>
        <w:t xml:space="preserve">, </w:t>
      </w:r>
      <w:r w:rsidRPr="000B453E">
        <w:rPr>
          <w:rFonts w:ascii="Arial" w:hAnsi="Arial" w:cs="Arial"/>
          <w:i/>
          <w:sz w:val="22"/>
          <w:szCs w:val="22"/>
        </w:rPr>
        <w:t>Petroleum Act 1923, and Petroleum and Gas (Production and Safety) Act 2004</w:t>
      </w:r>
      <w:r w:rsidRPr="00B33FE1">
        <w:rPr>
          <w:rFonts w:ascii="Arial" w:hAnsi="Arial" w:cs="Arial"/>
          <w:bCs/>
          <w:i/>
          <w:spacing w:val="-3"/>
          <w:sz w:val="22"/>
          <w:szCs w:val="22"/>
        </w:rPr>
        <w:t>.</w:t>
      </w:r>
    </w:p>
    <w:p w:rsidR="00AE17B1" w:rsidRDefault="0065026F" w:rsidP="00AE17B1">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FB1396" w:rsidRPr="006D22E5">
        <w:rPr>
          <w:rFonts w:ascii="Arial" w:hAnsi="Arial" w:cs="Arial"/>
          <w:sz w:val="22"/>
          <w:szCs w:val="22"/>
        </w:rPr>
        <w:t xml:space="preserve"> </w:t>
      </w:r>
      <w:r w:rsidR="00FB1396">
        <w:rPr>
          <w:rFonts w:ascii="Arial" w:hAnsi="Arial" w:cs="Arial"/>
          <w:sz w:val="22"/>
          <w:szCs w:val="22"/>
        </w:rPr>
        <w:t xml:space="preserve">the </w:t>
      </w:r>
      <w:r w:rsidR="00FB3572" w:rsidRPr="00FB3572">
        <w:rPr>
          <w:rFonts w:ascii="Arial" w:hAnsi="Arial" w:cs="Arial"/>
          <w:i/>
          <w:sz w:val="22"/>
          <w:szCs w:val="22"/>
        </w:rPr>
        <w:t>Mines and Energy Legislation Amendment</w:t>
      </w:r>
      <w:r w:rsidR="00FB1396" w:rsidRPr="00FB3572">
        <w:rPr>
          <w:rFonts w:ascii="Arial" w:hAnsi="Arial" w:cs="Arial"/>
          <w:i/>
          <w:sz w:val="22"/>
          <w:szCs w:val="22"/>
        </w:rPr>
        <w:t xml:space="preserve"> Bill</w:t>
      </w:r>
      <w:r w:rsidR="00FB3572" w:rsidRPr="00FB3572">
        <w:rPr>
          <w:rFonts w:ascii="Arial" w:hAnsi="Arial" w:cs="Arial"/>
          <w:i/>
          <w:sz w:val="22"/>
          <w:szCs w:val="22"/>
        </w:rPr>
        <w:t xml:space="preserve"> 2009</w:t>
      </w:r>
      <w:r w:rsidR="00FB3572">
        <w:rPr>
          <w:rFonts w:ascii="Arial" w:hAnsi="Arial" w:cs="Arial"/>
          <w:sz w:val="22"/>
          <w:szCs w:val="22"/>
        </w:rPr>
        <w:t xml:space="preserve"> be introduced into Parliament</w:t>
      </w:r>
      <w:r w:rsidR="00FB1396">
        <w:rPr>
          <w:rFonts w:ascii="Arial" w:hAnsi="Arial" w:cs="Arial"/>
          <w:sz w:val="22"/>
          <w:szCs w:val="22"/>
        </w:rPr>
        <w:t>.</w:t>
      </w:r>
    </w:p>
    <w:p w:rsidR="00AE17B1" w:rsidRPr="00C07656" w:rsidRDefault="00AE17B1" w:rsidP="00AE17B1">
      <w:pPr>
        <w:keepNext/>
        <w:numPr>
          <w:ilvl w:val="0"/>
          <w:numId w:val="1"/>
        </w:numPr>
        <w:tabs>
          <w:tab w:val="clear" w:pos="720"/>
          <w:tab w:val="num" w:pos="360"/>
        </w:tabs>
        <w:spacing w:before="240"/>
        <w:ind w:left="357" w:hanging="357"/>
        <w:jc w:val="both"/>
        <w:rPr>
          <w:rFonts w:ascii="Arial" w:hAnsi="Arial" w:cs="Arial"/>
          <w:sz w:val="22"/>
          <w:szCs w:val="22"/>
        </w:rPr>
      </w:pPr>
      <w:r w:rsidRPr="00C07656">
        <w:rPr>
          <w:rFonts w:ascii="Arial" w:hAnsi="Arial" w:cs="Arial"/>
          <w:i/>
          <w:sz w:val="22"/>
          <w:szCs w:val="22"/>
          <w:u w:val="single"/>
        </w:rPr>
        <w:t>Attachments</w:t>
      </w:r>
    </w:p>
    <w:p w:rsidR="00AE17B1" w:rsidRDefault="00503279" w:rsidP="00AE17B1">
      <w:pPr>
        <w:numPr>
          <w:ilvl w:val="0"/>
          <w:numId w:val="2"/>
        </w:numPr>
        <w:spacing w:before="240"/>
        <w:ind w:left="811"/>
        <w:jc w:val="both"/>
        <w:rPr>
          <w:rFonts w:ascii="Arial" w:hAnsi="Arial" w:cs="Arial"/>
          <w:sz w:val="22"/>
          <w:szCs w:val="22"/>
        </w:rPr>
      </w:pPr>
      <w:hyperlink r:id="rId7" w:history="1">
        <w:r w:rsidR="00AE17B1" w:rsidRPr="00715A23">
          <w:rPr>
            <w:rStyle w:val="Hyperlink"/>
            <w:rFonts w:ascii="Arial" w:hAnsi="Arial" w:cs="Arial"/>
            <w:bCs/>
            <w:spacing w:val="-3"/>
            <w:sz w:val="22"/>
            <w:szCs w:val="22"/>
          </w:rPr>
          <w:t>Attachment 1 –</w:t>
        </w:r>
        <w:r w:rsidR="00AE17B1" w:rsidRPr="00715A23">
          <w:rPr>
            <w:rStyle w:val="Hyperlink"/>
            <w:rFonts w:ascii="Arial" w:hAnsi="Arial" w:cs="Arial"/>
            <w:bCs/>
            <w:i/>
            <w:spacing w:val="-3"/>
            <w:sz w:val="22"/>
            <w:szCs w:val="22"/>
          </w:rPr>
          <w:t xml:space="preserve"> Mines and Energy Legislation Amendment Bill 2009</w:t>
        </w:r>
      </w:hyperlink>
    </w:p>
    <w:p w:rsidR="00AE17B1" w:rsidRPr="00C07656" w:rsidRDefault="00503279" w:rsidP="00AE17B1">
      <w:pPr>
        <w:numPr>
          <w:ilvl w:val="0"/>
          <w:numId w:val="2"/>
        </w:numPr>
        <w:spacing w:before="240"/>
        <w:ind w:left="811"/>
        <w:jc w:val="both"/>
        <w:rPr>
          <w:rFonts w:ascii="Arial" w:hAnsi="Arial" w:cs="Arial"/>
          <w:b/>
          <w:sz w:val="22"/>
          <w:szCs w:val="22"/>
        </w:rPr>
      </w:pPr>
      <w:hyperlink r:id="rId8" w:history="1">
        <w:r w:rsidR="00AE17B1" w:rsidRPr="00715A23">
          <w:rPr>
            <w:rStyle w:val="Hyperlink"/>
            <w:rFonts w:ascii="Arial" w:hAnsi="Arial" w:cs="Arial"/>
            <w:sz w:val="22"/>
            <w:szCs w:val="22"/>
          </w:rPr>
          <w:t>Attachment 2 – Explanatory Notes</w:t>
        </w:r>
      </w:hyperlink>
    </w:p>
    <w:sectPr w:rsidR="00AE17B1" w:rsidRPr="00C07656" w:rsidSect="0065026F">
      <w:headerReference w:type="default" r:id="rId9"/>
      <w:footerReference w:type="default" r:id="rId10"/>
      <w:headerReference w:type="first" r:id="rId11"/>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601" w:rsidRDefault="009E4601">
      <w:r>
        <w:separator/>
      </w:r>
    </w:p>
  </w:endnote>
  <w:endnote w:type="continuationSeparator" w:id="0">
    <w:p w:rsidR="009E4601" w:rsidRDefault="009E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EA" w:rsidRPr="001141E1" w:rsidRDefault="00C600EA" w:rsidP="0065026F">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601" w:rsidRDefault="009E4601">
      <w:r>
        <w:separator/>
      </w:r>
    </w:p>
  </w:footnote>
  <w:footnote w:type="continuationSeparator" w:id="0">
    <w:p w:rsidR="009E4601" w:rsidRDefault="009E4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EA" w:rsidRPr="000400F9" w:rsidRDefault="00E624E7" w:rsidP="0065026F">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600EA" w:rsidRPr="000400F9">
      <w:rPr>
        <w:rFonts w:ascii="Arial" w:hAnsi="Arial" w:cs="Arial"/>
        <w:b/>
        <w:sz w:val="22"/>
        <w:szCs w:val="22"/>
        <w:u w:val="single"/>
      </w:rPr>
      <w:t xml:space="preserve">Cabinet – </w:t>
    </w:r>
    <w:r w:rsidR="00C600EA">
      <w:rPr>
        <w:rFonts w:ascii="Arial" w:hAnsi="Arial" w:cs="Arial"/>
        <w:b/>
        <w:sz w:val="22"/>
        <w:szCs w:val="22"/>
        <w:u w:val="single"/>
      </w:rPr>
      <w:t>month year</w:t>
    </w:r>
  </w:p>
  <w:p w:rsidR="00C600EA" w:rsidRDefault="00C600EA" w:rsidP="0065026F">
    <w:pPr>
      <w:pStyle w:val="Header"/>
      <w:spacing w:before="120"/>
      <w:rPr>
        <w:rFonts w:ascii="Arial" w:hAnsi="Arial" w:cs="Arial"/>
        <w:b/>
        <w:sz w:val="22"/>
        <w:szCs w:val="22"/>
        <w:u w:val="single"/>
      </w:rPr>
    </w:pPr>
    <w:r>
      <w:rPr>
        <w:rFonts w:ascii="Arial" w:hAnsi="Arial" w:cs="Arial"/>
        <w:b/>
        <w:sz w:val="22"/>
        <w:szCs w:val="22"/>
        <w:u w:val="single"/>
      </w:rPr>
      <w:t>submission subject</w:t>
    </w:r>
  </w:p>
  <w:p w:rsidR="00C600EA" w:rsidRDefault="00C600EA" w:rsidP="0065026F">
    <w:pPr>
      <w:pStyle w:val="Header"/>
      <w:spacing w:before="120"/>
      <w:rPr>
        <w:rFonts w:ascii="Arial" w:hAnsi="Arial" w:cs="Arial"/>
        <w:b/>
        <w:sz w:val="22"/>
        <w:szCs w:val="22"/>
        <w:u w:val="single"/>
      </w:rPr>
    </w:pPr>
    <w:r>
      <w:rPr>
        <w:rFonts w:ascii="Arial" w:hAnsi="Arial" w:cs="Arial"/>
        <w:b/>
        <w:sz w:val="22"/>
        <w:szCs w:val="22"/>
        <w:u w:val="single"/>
      </w:rPr>
      <w:t>Minister/s title</w:t>
    </w:r>
  </w:p>
  <w:p w:rsidR="00C600EA" w:rsidRPr="00F10DF9" w:rsidRDefault="00C600EA" w:rsidP="0065026F">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EA" w:rsidRPr="000400F9" w:rsidRDefault="00E624E7" w:rsidP="0065026F">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600EA" w:rsidRPr="000400F9">
      <w:rPr>
        <w:rFonts w:ascii="Arial" w:hAnsi="Arial" w:cs="Arial"/>
        <w:b/>
        <w:sz w:val="22"/>
        <w:szCs w:val="22"/>
        <w:u w:val="single"/>
      </w:rPr>
      <w:t xml:space="preserve">Cabinet – </w:t>
    </w:r>
    <w:r w:rsidR="00C600EA">
      <w:rPr>
        <w:rFonts w:ascii="Arial" w:hAnsi="Arial" w:cs="Arial"/>
        <w:b/>
        <w:sz w:val="22"/>
        <w:szCs w:val="22"/>
        <w:u w:val="single"/>
      </w:rPr>
      <w:t>May 2009</w:t>
    </w:r>
  </w:p>
  <w:p w:rsidR="00C600EA" w:rsidRPr="00EE48B5" w:rsidRDefault="00C600EA" w:rsidP="0065026F">
    <w:pPr>
      <w:pStyle w:val="Header"/>
      <w:spacing w:before="120"/>
      <w:rPr>
        <w:rFonts w:ascii="Arial" w:hAnsi="Arial" w:cs="Arial"/>
        <w:b/>
        <w:i/>
        <w:sz w:val="22"/>
        <w:szCs w:val="22"/>
        <w:u w:val="single"/>
      </w:rPr>
    </w:pPr>
    <w:r w:rsidRPr="00EE48B5">
      <w:rPr>
        <w:rFonts w:ascii="Arial" w:hAnsi="Arial" w:cs="Arial"/>
        <w:b/>
        <w:i/>
        <w:sz w:val="22"/>
        <w:szCs w:val="22"/>
        <w:u w:val="single"/>
      </w:rPr>
      <w:t>Mines and Energy Legislation Amendment Bill 2009</w:t>
    </w:r>
  </w:p>
  <w:p w:rsidR="00C600EA" w:rsidRDefault="00C600EA" w:rsidP="0065026F">
    <w:pPr>
      <w:pStyle w:val="Header"/>
      <w:spacing w:before="120"/>
      <w:rPr>
        <w:rFonts w:ascii="Arial" w:hAnsi="Arial" w:cs="Arial"/>
        <w:b/>
        <w:sz w:val="22"/>
        <w:szCs w:val="22"/>
        <w:u w:val="single"/>
      </w:rPr>
    </w:pPr>
    <w:r>
      <w:rPr>
        <w:rFonts w:ascii="Arial" w:hAnsi="Arial" w:cs="Arial"/>
        <w:b/>
        <w:sz w:val="22"/>
        <w:szCs w:val="22"/>
        <w:u w:val="single"/>
      </w:rPr>
      <w:t>Minister for Natural Resources, Mines and Energy</w:t>
    </w:r>
  </w:p>
  <w:p w:rsidR="00C600EA" w:rsidRPr="00F10DF9" w:rsidRDefault="00C600EA" w:rsidP="0065026F">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5073F"/>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0E37249"/>
    <w:multiLevelType w:val="hybridMultilevel"/>
    <w:tmpl w:val="94E47776"/>
    <w:lvl w:ilvl="0" w:tplc="0C090001">
      <w:start w:val="1"/>
      <w:numFmt w:val="bullet"/>
      <w:lvlText w:val=""/>
      <w:lvlJc w:val="left"/>
      <w:pPr>
        <w:tabs>
          <w:tab w:val="num" w:pos="720"/>
        </w:tabs>
        <w:ind w:left="720" w:hanging="360"/>
      </w:pPr>
      <w:rPr>
        <w:rFonts w:ascii="Symbol" w:hAnsi="Symbol" w:hint="default"/>
      </w:rPr>
    </w:lvl>
    <w:lvl w:ilvl="1" w:tplc="D418484C">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3E8AB73C"/>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6F"/>
    <w:rsid w:val="000415C5"/>
    <w:rsid w:val="00081A4E"/>
    <w:rsid w:val="00091873"/>
    <w:rsid w:val="000B453E"/>
    <w:rsid w:val="000D490D"/>
    <w:rsid w:val="000D6868"/>
    <w:rsid w:val="00143437"/>
    <w:rsid w:val="00155300"/>
    <w:rsid w:val="00167E5C"/>
    <w:rsid w:val="00172436"/>
    <w:rsid w:val="001B3C68"/>
    <w:rsid w:val="001E1849"/>
    <w:rsid w:val="001F115C"/>
    <w:rsid w:val="00211447"/>
    <w:rsid w:val="00216CCC"/>
    <w:rsid w:val="0023451B"/>
    <w:rsid w:val="002B54BB"/>
    <w:rsid w:val="003362CE"/>
    <w:rsid w:val="003A13E5"/>
    <w:rsid w:val="004076E5"/>
    <w:rsid w:val="00427B34"/>
    <w:rsid w:val="004E2C70"/>
    <w:rsid w:val="00503279"/>
    <w:rsid w:val="0051237E"/>
    <w:rsid w:val="00594E2F"/>
    <w:rsid w:val="00597F25"/>
    <w:rsid w:val="005C3636"/>
    <w:rsid w:val="00611295"/>
    <w:rsid w:val="006161C3"/>
    <w:rsid w:val="0065026F"/>
    <w:rsid w:val="00693D82"/>
    <w:rsid w:val="006C4EAF"/>
    <w:rsid w:val="006D22E5"/>
    <w:rsid w:val="00703DA6"/>
    <w:rsid w:val="00715A23"/>
    <w:rsid w:val="00776FFF"/>
    <w:rsid w:val="007B693B"/>
    <w:rsid w:val="00803474"/>
    <w:rsid w:val="00856A0F"/>
    <w:rsid w:val="008B58D7"/>
    <w:rsid w:val="008C7988"/>
    <w:rsid w:val="00940AB3"/>
    <w:rsid w:val="00956DF2"/>
    <w:rsid w:val="009E14AA"/>
    <w:rsid w:val="009E4601"/>
    <w:rsid w:val="00A17C89"/>
    <w:rsid w:val="00A94676"/>
    <w:rsid w:val="00AE17B1"/>
    <w:rsid w:val="00B26B52"/>
    <w:rsid w:val="00B336AF"/>
    <w:rsid w:val="00B33FE1"/>
    <w:rsid w:val="00B706AE"/>
    <w:rsid w:val="00B90D2C"/>
    <w:rsid w:val="00C22DCD"/>
    <w:rsid w:val="00C600EA"/>
    <w:rsid w:val="00D120C7"/>
    <w:rsid w:val="00D721C5"/>
    <w:rsid w:val="00DB0669"/>
    <w:rsid w:val="00DD10AB"/>
    <w:rsid w:val="00DE4E42"/>
    <w:rsid w:val="00E050A4"/>
    <w:rsid w:val="00E34566"/>
    <w:rsid w:val="00E624E7"/>
    <w:rsid w:val="00EB1A4F"/>
    <w:rsid w:val="00EC79BB"/>
    <w:rsid w:val="00ED22E0"/>
    <w:rsid w:val="00EE48B5"/>
    <w:rsid w:val="00EE7B3A"/>
    <w:rsid w:val="00EF0E98"/>
    <w:rsid w:val="00FA667A"/>
    <w:rsid w:val="00FB1396"/>
    <w:rsid w:val="00FB3572"/>
    <w:rsid w:val="00FE0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6F"/>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026F"/>
    <w:pPr>
      <w:tabs>
        <w:tab w:val="center" w:pos="4153"/>
        <w:tab w:val="right" w:pos="8306"/>
      </w:tabs>
    </w:pPr>
    <w:rPr>
      <w:color w:val="auto"/>
    </w:rPr>
  </w:style>
  <w:style w:type="paragraph" w:styleId="Footer">
    <w:name w:val="footer"/>
    <w:basedOn w:val="Normal"/>
    <w:rsid w:val="0065026F"/>
    <w:pPr>
      <w:tabs>
        <w:tab w:val="center" w:pos="4153"/>
        <w:tab w:val="right" w:pos="8306"/>
      </w:tabs>
    </w:pPr>
  </w:style>
  <w:style w:type="paragraph" w:styleId="BalloonText">
    <w:name w:val="Balloon Text"/>
    <w:basedOn w:val="Normal"/>
    <w:semiHidden/>
    <w:rsid w:val="000D6868"/>
    <w:rPr>
      <w:rFonts w:ascii="Tahoma" w:hAnsi="Tahoma" w:cs="Tahoma"/>
      <w:sz w:val="16"/>
      <w:szCs w:val="16"/>
    </w:rPr>
  </w:style>
  <w:style w:type="character" w:styleId="Hyperlink">
    <w:name w:val="Hyperlink"/>
    <w:basedOn w:val="DefaultParagraphFont"/>
    <w:rsid w:val="00715A23"/>
    <w:rPr>
      <w:color w:val="0000FF"/>
      <w:u w:val="single"/>
    </w:rPr>
  </w:style>
  <w:style w:type="character" w:styleId="FollowedHyperlink">
    <w:name w:val="FollowedHyperlink"/>
    <w:basedOn w:val="DefaultParagraphFont"/>
    <w:rsid w:val="00715A23"/>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plan%20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1376</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1605</CharactersWithSpaces>
  <SharedDoc>false</SharedDoc>
  <HyperlinkBase>https://www.cabinet.qld.gov.au/documents/2009/May/Mines and Energy Leg Amendment Bill 2009/</HyperlinkBase>
  <HLinks>
    <vt:vector size="12" baseType="variant">
      <vt:variant>
        <vt:i4>4587538</vt:i4>
      </vt:variant>
      <vt:variant>
        <vt:i4>3</vt:i4>
      </vt:variant>
      <vt:variant>
        <vt:i4>0</vt:i4>
      </vt:variant>
      <vt:variant>
        <vt:i4>5</vt:i4>
      </vt:variant>
      <vt:variant>
        <vt:lpwstr>Attachments/Explan 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Energy</cp:keywords>
  <dc:description/>
  <cp:lastModifiedBy/>
  <cp:revision>2</cp:revision>
  <cp:lastPrinted>2009-05-06T00:59:00Z</cp:lastPrinted>
  <dcterms:created xsi:type="dcterms:W3CDTF">2017-10-24T22:01:00Z</dcterms:created>
  <dcterms:modified xsi:type="dcterms:W3CDTF">2018-03-06T00:58:00Z</dcterms:modified>
  <cp:category>Electricity</cp:category>
</cp:coreProperties>
</file>